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925CA8" w14:textId="04B06803" w:rsidR="00E90E49" w:rsidRPr="00327997" w:rsidRDefault="00E90E49" w:rsidP="00327997">
      <w:pPr>
        <w:pStyle w:val="3GPPHeader"/>
        <w:rPr>
          <w:highlight w:val="yellow"/>
        </w:rPr>
      </w:pPr>
      <w:r w:rsidRPr="00327997">
        <w:t>3GPP TSG-RAN WG</w:t>
      </w:r>
      <w:r w:rsidR="00790B99" w:rsidRPr="00327997">
        <w:t>1</w:t>
      </w:r>
      <w:r w:rsidR="00A85C6C">
        <w:t xml:space="preserve"> #</w:t>
      </w:r>
      <w:r w:rsidR="00356A14">
        <w:t>89</w:t>
      </w:r>
      <w:r w:rsidRPr="00327997">
        <w:tab/>
      </w:r>
      <w:r w:rsidR="00790B99" w:rsidRPr="00327997">
        <w:t>R1</w:t>
      </w:r>
      <w:r w:rsidR="00091557" w:rsidRPr="00327997">
        <w:t>-</w:t>
      </w:r>
      <w:r w:rsidR="009B4CF2">
        <w:t>1708718</w:t>
      </w:r>
    </w:p>
    <w:p w14:paraId="51F975F1" w14:textId="0F3805DC" w:rsidR="00E90E49" w:rsidRDefault="00356A14" w:rsidP="00327997">
      <w:pPr>
        <w:pStyle w:val="3GPPHeader"/>
      </w:pPr>
      <w:r>
        <w:t>Hangzhou, China</w:t>
      </w:r>
      <w:r w:rsidR="0027144F" w:rsidRPr="009C6832">
        <w:t xml:space="preserve">, </w:t>
      </w:r>
      <w:r>
        <w:t>15</w:t>
      </w:r>
      <w:r w:rsidRPr="00356A14">
        <w:rPr>
          <w:vertAlign w:val="superscript"/>
        </w:rPr>
        <w:t>th</w:t>
      </w:r>
      <w:r>
        <w:t xml:space="preserve"> </w:t>
      </w:r>
      <w:r w:rsidR="0027144F" w:rsidRPr="009C6832">
        <w:t xml:space="preserve">– </w:t>
      </w:r>
      <w:r>
        <w:t>19</w:t>
      </w:r>
      <w:r w:rsidRPr="00356A14">
        <w:rPr>
          <w:vertAlign w:val="superscript"/>
        </w:rPr>
        <w:t>th</w:t>
      </w:r>
      <w:r>
        <w:t xml:space="preserve"> May</w:t>
      </w:r>
      <w:r w:rsidR="00790B99" w:rsidRPr="009C6832">
        <w:t>,</w:t>
      </w:r>
      <w:r w:rsidR="0027144F" w:rsidRPr="009C6832">
        <w:t xml:space="preserve"> 20</w:t>
      </w:r>
      <w:r w:rsidR="00A85C6C">
        <w:t>17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6766E922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AB286A">
        <w:t>O</w:t>
      </w:r>
      <w:r w:rsidR="00DE4BB6">
        <w:t xml:space="preserve">n </w:t>
      </w:r>
      <w:r w:rsidR="009B4CF2">
        <w:t>in-sync/out-of-sync indications for RLF</w:t>
      </w:r>
      <w:r w:rsidR="00AB286A">
        <w:t xml:space="preserve"> for r</w:t>
      </w:r>
      <w:bookmarkStart w:id="0" w:name="_GoBack"/>
      <w:bookmarkEnd w:id="0"/>
      <w:r w:rsidR="00AB286A">
        <w:t>eply LS to RAN2</w:t>
      </w:r>
      <w:r w:rsidR="009B4CF2">
        <w:t>               </w:t>
      </w:r>
    </w:p>
    <w:p w14:paraId="2D554DE3" w14:textId="58484EC8" w:rsidR="00952A24" w:rsidRPr="00327997" w:rsidRDefault="00644AB9" w:rsidP="00327997">
      <w:pPr>
        <w:pStyle w:val="3GPPHeader"/>
      </w:pPr>
      <w:r>
        <w:t>Agenda Item:</w:t>
      </w:r>
      <w:r>
        <w:tab/>
      </w:r>
      <w:r w:rsidR="009A4968">
        <w:t>4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3AF27233" w:rsidR="00E90E49" w:rsidRDefault="007F75D5" w:rsidP="00CE0424">
      <w:pPr>
        <w:pStyle w:val="Heading1"/>
      </w:pPr>
      <w:r>
        <w:t>Introduction</w:t>
      </w:r>
    </w:p>
    <w:p w14:paraId="13E1F2FC" w14:textId="7A925795" w:rsidR="00DD795F" w:rsidRPr="00924599" w:rsidRDefault="00DD795F" w:rsidP="00DD795F">
      <w:pPr>
        <w:pStyle w:val="BodyText"/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_Ref481511688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>, RAN2 informed RAN1 of their agreements on radio link failure and ask two questions:</w:t>
      </w:r>
      <w:r w:rsidRPr="00A172D7"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795F" w:rsidRPr="00924599" w14:paraId="20F438C2" w14:textId="77777777" w:rsidTr="008F4B5E">
        <w:tc>
          <w:tcPr>
            <w:tcW w:w="9629" w:type="dxa"/>
          </w:tcPr>
          <w:p w14:paraId="4E85092A" w14:textId="77777777" w:rsidR="00DD795F" w:rsidRDefault="00DD795F" w:rsidP="00DD795F">
            <w:r w:rsidRPr="005A06D3">
              <w:t>RAN2 has discussed RLM/RLF procedure with multiple-beam operation in NR and made following agreements:</w:t>
            </w:r>
          </w:p>
          <w:p w14:paraId="60BD824C" w14:textId="77777777" w:rsidR="00DD795F" w:rsidRPr="005A06D3" w:rsidRDefault="00DD795F" w:rsidP="00DD795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5A06D3">
              <w:rPr>
                <w:rFonts w:eastAsia="MS Mincho"/>
                <w:szCs w:val="24"/>
                <w:lang w:eastAsia="en-GB"/>
              </w:rPr>
              <w:t>Agreements</w:t>
            </w:r>
          </w:p>
          <w:p w14:paraId="613C88FB" w14:textId="77777777" w:rsidR="00DD795F" w:rsidRPr="005A06D3" w:rsidRDefault="00DD795F" w:rsidP="00DD795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5A06D3">
              <w:rPr>
                <w:rFonts w:eastAsia="MS Mincho"/>
                <w:szCs w:val="24"/>
                <w:lang w:eastAsia="en-GB"/>
              </w:rPr>
              <w:t>1:</w:t>
            </w:r>
            <w:r w:rsidRPr="005A06D3">
              <w:rPr>
                <w:rFonts w:eastAsia="MS Mincho"/>
                <w:szCs w:val="24"/>
                <w:lang w:eastAsia="en-GB"/>
              </w:rPr>
              <w:tab/>
              <w:t>For connected mode, UE declares RLF upon timer expiry due to DL OOS detection, random access procedure failure detection, and RLC failure detection.</w:t>
            </w:r>
          </w:p>
          <w:p w14:paraId="6A5FEA2F" w14:textId="77777777" w:rsidR="00DD795F" w:rsidRPr="005A06D3" w:rsidRDefault="00DD795F" w:rsidP="00DD795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5A06D3">
              <w:rPr>
                <w:rFonts w:eastAsia="MS Mincho"/>
                <w:szCs w:val="24"/>
                <w:lang w:eastAsia="en-GB"/>
              </w:rPr>
              <w:t xml:space="preserve">FFS whether maximum ARQ retransmission is only criteria for RLC failure (needs to be discussed in common UP/CP session). </w:t>
            </w:r>
          </w:p>
          <w:p w14:paraId="7CA80794" w14:textId="77777777" w:rsidR="00DD795F" w:rsidRPr="005A06D3" w:rsidRDefault="00DD795F" w:rsidP="00DD795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5A06D3">
              <w:rPr>
                <w:rFonts w:eastAsia="MS Mincho"/>
                <w:szCs w:val="24"/>
                <w:lang w:eastAsia="en-GB"/>
              </w:rPr>
              <w:t>2</w:t>
            </w:r>
            <w:r w:rsidRPr="005A06D3">
              <w:rPr>
                <w:rFonts w:eastAsia="MS Mincho"/>
                <w:szCs w:val="24"/>
                <w:lang w:eastAsia="en-GB"/>
              </w:rPr>
              <w:tab/>
              <w:t xml:space="preserve">In NR RLM procedure, physical layer performs out of sync / in sync indication and RRC declares RLF. </w:t>
            </w:r>
          </w:p>
          <w:p w14:paraId="5537B84B" w14:textId="77777777" w:rsidR="00DD795F" w:rsidRPr="005A06D3" w:rsidRDefault="00DD795F" w:rsidP="00DD795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0" w:color="auto"/>
              </w:pBdr>
              <w:tabs>
                <w:tab w:val="left" w:pos="1622"/>
              </w:tabs>
              <w:overflowPunct/>
              <w:autoSpaceDE/>
              <w:autoSpaceDN/>
              <w:adjustRightInd/>
              <w:spacing w:after="0"/>
              <w:ind w:left="726" w:hanging="363"/>
              <w:jc w:val="left"/>
              <w:textAlignment w:val="auto"/>
              <w:rPr>
                <w:rFonts w:eastAsia="MS Mincho"/>
                <w:szCs w:val="24"/>
                <w:lang w:eastAsia="en-GB"/>
              </w:rPr>
            </w:pPr>
            <w:r w:rsidRPr="005A06D3">
              <w:rPr>
                <w:rFonts w:eastAsia="MS Mincho"/>
                <w:szCs w:val="24"/>
                <w:lang w:eastAsia="en-GB"/>
              </w:rPr>
              <w:t>3</w:t>
            </w:r>
            <w:r w:rsidRPr="005A06D3">
              <w:rPr>
                <w:rFonts w:eastAsia="MS Mincho"/>
                <w:szCs w:val="24"/>
                <w:lang w:eastAsia="en-GB"/>
              </w:rPr>
              <w:tab/>
              <w:t>For RLF purposes, RAN2 preference is that the in sync / out of sync indication should be a per cell indication, and we aim for a single procedure for both multi-beam and single beam operation.</w:t>
            </w:r>
          </w:p>
          <w:p w14:paraId="55A5F514" w14:textId="77777777" w:rsidR="00DD795F" w:rsidRPr="005A06D3" w:rsidRDefault="00DD795F" w:rsidP="00DD795F"/>
          <w:p w14:paraId="5AB7E651" w14:textId="77777777" w:rsidR="00DD795F" w:rsidRDefault="00DD795F" w:rsidP="00DD795F">
            <w:pPr>
              <w:pStyle w:val="BodyText"/>
            </w:pPr>
            <w:r w:rsidRPr="005A06D3">
              <w:t xml:space="preserve">Given the above RAN2 preference to have the in-sync/out-of-sync indication for RLF in NR be provided per cell, </w:t>
            </w:r>
            <w:r>
              <w:t>RAN2 has sent an LS to RAN on</w:t>
            </w:r>
            <w:r w:rsidRPr="009B4CF2">
              <w:t xml:space="preserve"> in-sync/out-of-sync indications for RLF</w:t>
            </w:r>
            <w:r>
              <w:t>. A response to two questions has been requested:</w:t>
            </w:r>
          </w:p>
          <w:p w14:paraId="5C0B9A66" w14:textId="77777777" w:rsidR="00DD795F" w:rsidRPr="009B4CF2" w:rsidRDefault="00DD795F" w:rsidP="00DD79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/>
                <w:lang w:eastAsia="en-US"/>
              </w:rPr>
            </w:pPr>
            <w:r w:rsidRPr="009B4CF2">
              <w:rPr>
                <w:rFonts w:eastAsia="SimSun"/>
                <w:b/>
                <w:lang w:eastAsia="en-US"/>
              </w:rPr>
              <w:t>Q1:</w:t>
            </w:r>
            <w:r w:rsidRPr="009B4CF2">
              <w:rPr>
                <w:rFonts w:eastAsia="SimSun"/>
                <w:lang w:eastAsia="en-US"/>
              </w:rPr>
              <w:t xml:space="preserve"> Can the in-sync/out-of-sync indications for RLF be provided per cell?</w:t>
            </w:r>
          </w:p>
          <w:p w14:paraId="442F2740" w14:textId="77777777" w:rsidR="00DD795F" w:rsidRPr="009B4CF2" w:rsidRDefault="00DD795F" w:rsidP="00DD79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Arial" w:eastAsia="SimSun" w:hAnsi="Arial" w:cs="Arial"/>
                <w:lang w:eastAsia="en-US"/>
              </w:rPr>
            </w:pPr>
          </w:p>
          <w:p w14:paraId="6001A72D" w14:textId="77777777" w:rsidR="00DD795F" w:rsidRPr="003A4490" w:rsidRDefault="00DD795F" w:rsidP="00DD795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eastAsia="en-US"/>
              </w:rPr>
            </w:pPr>
            <w:r w:rsidRPr="009B4CF2">
              <w:rPr>
                <w:rFonts w:eastAsia="SimSun"/>
                <w:b/>
                <w:lang w:eastAsia="en-US"/>
              </w:rPr>
              <w:t>Q2:</w:t>
            </w:r>
            <w:r w:rsidRPr="009B4CF2">
              <w:rPr>
                <w:rFonts w:eastAsia="SimSun"/>
                <w:lang w:eastAsia="en-US"/>
              </w:rPr>
              <w:t xml:space="preserve"> Is RAN1 planning to provide in-sync/out-of-sync indications that are periodic (similar to LTE)?</w:t>
            </w:r>
          </w:p>
          <w:p w14:paraId="663F2ED3" w14:textId="77777777" w:rsidR="00DD795F" w:rsidRPr="00DD795F" w:rsidRDefault="00DD795F" w:rsidP="00DD795F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</w:p>
        </w:tc>
      </w:tr>
    </w:tbl>
    <w:p w14:paraId="794807CE" w14:textId="77777777" w:rsidR="009B4CF2" w:rsidRPr="009B4CF2" w:rsidRDefault="009B4CF2" w:rsidP="009B4CF2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6334A8B0" w14:textId="28E6733D" w:rsidR="007E480E" w:rsidRDefault="003A4490" w:rsidP="00BF7642">
      <w:pPr>
        <w:pStyle w:val="BodyText"/>
      </w:pPr>
      <w:r>
        <w:t xml:space="preserve">There has not been any agreements or discussions in RAN1 on radio link failure or radio link monitoring. </w:t>
      </w:r>
      <w:r w:rsidR="007E480E">
        <w:t xml:space="preserve">In this contribution, we </w:t>
      </w:r>
      <w:r w:rsidR="005A06D3">
        <w:t>propose a response to the two questions posed by RAN2.</w:t>
      </w:r>
    </w:p>
    <w:p w14:paraId="3CB8F8BC" w14:textId="3E698838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79FABC8" w14:textId="113A8349" w:rsidR="005A06D3" w:rsidRDefault="005A06D3" w:rsidP="005A06D3">
      <w:r>
        <w:t>In LTE, the physical layer in the UE evaluates the DL radio quality every frame </w:t>
      </w:r>
      <w:r>
        <w:fldChar w:fldCharType="begin"/>
      </w:r>
      <w:r>
        <w:instrText xml:space="preserve"> REF _Ref481485425 \r \h </w:instrText>
      </w:r>
      <w:r>
        <w:fldChar w:fldCharType="separate"/>
      </w:r>
      <w:r>
        <w:t>[2]</w:t>
      </w:r>
      <w:r>
        <w:fldChar w:fldCharType="end"/>
      </w:r>
      <w:r>
        <w:t>. The quality is compared to the thresholds Qin and Qout, which are UE-internal variables, which are defined by relevant tests in  </w:t>
      </w:r>
      <w:r>
        <w:fldChar w:fldCharType="begin"/>
      </w:r>
      <w:r>
        <w:instrText xml:space="preserve"> REF _Ref481485441 \r \h </w:instrText>
      </w:r>
      <w:r>
        <w:fldChar w:fldCharType="separate"/>
      </w:r>
      <w:r>
        <w:t>[3]</w:t>
      </w:r>
      <w:r>
        <w:fldChar w:fldCharType="end"/>
      </w:r>
      <w:r>
        <w:t xml:space="preserve">. This procedure is known as radio link monitoring (RLM). When the quality falls below Qout, the UE indicates </w:t>
      </w:r>
      <w:r w:rsidRPr="005742B7">
        <w:rPr>
          <w:i/>
        </w:rPr>
        <w:t>out-of-sync</w:t>
      </w:r>
      <w:r>
        <w:t xml:space="preserve"> to higher layers in the UE, and when the quality exceeds Qin, the UE indicates </w:t>
      </w:r>
      <w:r w:rsidRPr="005742B7">
        <w:rPr>
          <w:i/>
        </w:rPr>
        <w:t>in-sync</w:t>
      </w:r>
      <w:r>
        <w:t xml:space="preserve"> to higher layers.</w:t>
      </w:r>
    </w:p>
    <w:p w14:paraId="438E21F9" w14:textId="159D13A6" w:rsidR="005A06D3" w:rsidRDefault="005A06D3" w:rsidP="005A06D3">
      <w:r>
        <w:t>Based on the out-of-sync and in-sync indications, higher layers in the UE may declare RLF as described in </w:t>
      </w:r>
      <w:r>
        <w:fldChar w:fldCharType="begin"/>
      </w:r>
      <w:r>
        <w:instrText xml:space="preserve"> REF _Ref481485454 \r \h </w:instrText>
      </w:r>
      <w:r>
        <w:fldChar w:fldCharType="separate"/>
      </w:r>
      <w:r>
        <w:t>[4]</w:t>
      </w:r>
      <w:r>
        <w:fldChar w:fldCharType="end"/>
      </w:r>
      <w:r>
        <w:t>.</w:t>
      </w:r>
    </w:p>
    <w:p w14:paraId="719BA129" w14:textId="53C9549F" w:rsidR="005A06D3" w:rsidRPr="005A06D3" w:rsidRDefault="005A06D3" w:rsidP="005A06D3">
      <w:r>
        <w:t>The RLM procedure is designed to discover a situation where the network cannot reach the UE with a PDCCH transmission, and by taking appropriate action, the UE then avoids being trapped in a non-reachable state. To estimate the PDCCH quality, the UE relies on the internal quality threshold variables Qin and Qout, which correspond to 2% and 10% block error rate of a hypothetical PDCCH defined in </w:t>
      </w:r>
      <w:r>
        <w:fldChar w:fldCharType="begin"/>
      </w:r>
      <w:r>
        <w:instrText xml:space="preserve"> REF _Ref481485441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5D492E6C" w14:textId="6BC4CC94" w:rsidR="00644AB9" w:rsidRDefault="00644AB9" w:rsidP="00644AB9">
      <w:pPr>
        <w:pStyle w:val="Heading2"/>
      </w:pPr>
      <w:r>
        <w:t>Question 1</w:t>
      </w:r>
    </w:p>
    <w:p w14:paraId="1B29F888" w14:textId="66D33127" w:rsidR="008935BC" w:rsidRDefault="005A06D3" w:rsidP="00B84173">
      <w:r>
        <w:t xml:space="preserve">When defining the RLM procedure in NR, it is natural to maintain the LTE concept: the UE should try to discover a situation </w:t>
      </w:r>
      <w:r w:rsidR="00454AD7">
        <w:t xml:space="preserve">where </w:t>
      </w:r>
      <w:r>
        <w:t>the network cannot reach the UE with a PDCCH transmission</w:t>
      </w:r>
      <w:r w:rsidR="00454AD7">
        <w:t>. The UE must estimate t</w:t>
      </w:r>
      <w:r w:rsidR="00DD795F">
        <w:t xml:space="preserve">he quality of the hypothetical </w:t>
      </w:r>
      <w:r w:rsidR="00454AD7">
        <w:t xml:space="preserve">PDCCH the network would use to reach the UE. Even in a multi-beam scenario, where SS blocks are transmitted in multiple beams, the UE should monitor </w:t>
      </w:r>
      <w:r w:rsidR="00454AD7" w:rsidRPr="00454AD7">
        <w:rPr>
          <w:i/>
        </w:rPr>
        <w:t xml:space="preserve">only the </w:t>
      </w:r>
      <w:r w:rsidR="00454AD7">
        <w:rPr>
          <w:i/>
        </w:rPr>
        <w:t xml:space="preserve">quality of </w:t>
      </w:r>
      <w:r w:rsidR="00454AD7" w:rsidRPr="00454AD7">
        <w:rPr>
          <w:i/>
        </w:rPr>
        <w:t>beam where the network would transmit the PDCCH</w:t>
      </w:r>
      <w:r w:rsidR="00454AD7">
        <w:t>. Of course, the network would need to provide means for the UE to estimate that quality, as described in </w:t>
      </w:r>
      <w:r w:rsidR="00454AD7">
        <w:fldChar w:fldCharType="begin"/>
      </w:r>
      <w:r w:rsidR="00454AD7">
        <w:instrText xml:space="preserve"> REF _Ref481864739 \r \h </w:instrText>
      </w:r>
      <w:r w:rsidR="00454AD7">
        <w:fldChar w:fldCharType="separate"/>
      </w:r>
      <w:r w:rsidR="00454AD7">
        <w:t>[5]</w:t>
      </w:r>
      <w:r w:rsidR="00454AD7">
        <w:fldChar w:fldCharType="end"/>
      </w:r>
      <w:r w:rsidR="00454AD7">
        <w:t>.</w:t>
      </w:r>
    </w:p>
    <w:p w14:paraId="345EB7C1" w14:textId="224B4489" w:rsidR="00C170D9" w:rsidRDefault="008935BC" w:rsidP="00B84173">
      <w:r>
        <w:lastRenderedPageBreak/>
        <w:t xml:space="preserve">Hence, irrespective of the number of beams or TRPs in the cell, the UE will provide only a single </w:t>
      </w:r>
      <w:r w:rsidRPr="009B4CF2">
        <w:rPr>
          <w:rFonts w:eastAsia="SimSun"/>
          <w:lang w:eastAsia="en-US"/>
        </w:rPr>
        <w:t>in-sync/out-of-sync</w:t>
      </w:r>
      <w:r w:rsidR="00454AD7">
        <w:t> </w:t>
      </w:r>
      <w:r>
        <w:t xml:space="preserve">indication. However, that indication is not necessarily indicative of the cell quality, but of the quality of the PDCCH the network would use to reach the UE. </w:t>
      </w:r>
    </w:p>
    <w:p w14:paraId="1611692A" w14:textId="785D5DE1" w:rsidR="00836039" w:rsidRDefault="00854A99" w:rsidP="00B84173">
      <w:r>
        <w:t>Based on the above discussion, w</w:t>
      </w:r>
      <w:r w:rsidR="000F3FEF">
        <w:t xml:space="preserve">e propose the </w:t>
      </w:r>
      <w:r w:rsidR="00A80113">
        <w:t>followin</w:t>
      </w:r>
      <w:r w:rsidR="00A80113" w:rsidRPr="00502F28">
        <w:t>g answer</w:t>
      </w:r>
      <w:r w:rsidR="000F3FEF" w:rsidRPr="00502F28">
        <w:t xml:space="preserve"> to Question 1:</w:t>
      </w:r>
    </w:p>
    <w:p w14:paraId="7DA40F08" w14:textId="6573B760" w:rsidR="00AE641B" w:rsidRDefault="008935BC" w:rsidP="00A3724F">
      <w:pPr>
        <w:pStyle w:val="Proposal"/>
      </w:pPr>
      <w:bookmarkStart w:id="2" w:name="_Ref481866496"/>
      <w:r>
        <w:t>In NR, L1 in the UE will provide a single in-sync/out-of-sync indication to higher layers in the UE at a certain point in time, both in single-beam and multi-beam operation. Note that the indication is not necessarily indicative of the cell quality.</w:t>
      </w:r>
      <w:bookmarkEnd w:id="2"/>
    </w:p>
    <w:p w14:paraId="36222F54" w14:textId="40775B95" w:rsidR="000632DF" w:rsidRDefault="00644AB9" w:rsidP="000632DF">
      <w:pPr>
        <w:pStyle w:val="Heading2"/>
      </w:pPr>
      <w:r>
        <w:t>Question 2</w:t>
      </w:r>
    </w:p>
    <w:p w14:paraId="3E0135B3" w14:textId="04B7D028" w:rsidR="008935BC" w:rsidRDefault="008935BC" w:rsidP="008935BC">
      <w:r>
        <w:t xml:space="preserve">The </w:t>
      </w:r>
      <w:r w:rsidR="00A3724F">
        <w:t>use of periodic indications of DL quality was a natural choice in LTE, due to the availability of the periodic CRS. In NR, there is no always-on signal that can always be used to estimate the quality of the hypothetical PDCCH the network would use to reach the UE, as described in </w:t>
      </w:r>
      <w:r w:rsidR="00A3724F">
        <w:fldChar w:fldCharType="begin"/>
      </w:r>
      <w:r w:rsidR="00A3724F">
        <w:instrText xml:space="preserve"> REF _Ref481864739 \r \h </w:instrText>
      </w:r>
      <w:r w:rsidR="00A3724F">
        <w:fldChar w:fldCharType="separate"/>
      </w:r>
      <w:r w:rsidR="00A3724F">
        <w:t>[5]</w:t>
      </w:r>
      <w:r w:rsidR="00A3724F">
        <w:fldChar w:fldCharType="end"/>
      </w:r>
      <w:r w:rsidR="00A3724F">
        <w:t xml:space="preserve">. </w:t>
      </w:r>
    </w:p>
    <w:p w14:paraId="1AB934BF" w14:textId="364B2E0E" w:rsidR="00890B9E" w:rsidRDefault="00890B9E" w:rsidP="008935BC">
      <w:r>
        <w:t xml:space="preserve">However, definition of in-sync/out-of-sync indications </w:t>
      </w:r>
      <w:r w:rsidR="008C1EEF">
        <w:t xml:space="preserve">brings many advantages, in particular it enables capturing receiver characteristics in a standard-transparent way. The network must then take these indications into account, and that is quite difficult to do if they are not periodic. Solutions </w:t>
      </w:r>
      <w:r w:rsidR="00F6244A">
        <w:t xml:space="preserve">only </w:t>
      </w:r>
      <w:r w:rsidR="008C1EEF">
        <w:t xml:space="preserve">based on potentially aperiodic transmissions </w:t>
      </w:r>
      <w:r w:rsidR="00F6244A">
        <w:t>would provide less accuracy and/or higher overhead. Based on the above discussion, we propose the followi</w:t>
      </w:r>
      <w:r w:rsidR="00F6244A" w:rsidRPr="00B66DA1">
        <w:t>ng answer to Question 2:</w:t>
      </w:r>
    </w:p>
    <w:p w14:paraId="2010CEE1" w14:textId="588BAE2E" w:rsidR="008935BC" w:rsidRPr="008935BC" w:rsidRDefault="00F6244A" w:rsidP="008935BC">
      <w:pPr>
        <w:pStyle w:val="Proposal"/>
      </w:pPr>
      <w:bookmarkStart w:id="3" w:name="_Ref481866516"/>
      <w:r>
        <w:t xml:space="preserve">In NR, L1 in the UE will provide periodic </w:t>
      </w:r>
      <w:r w:rsidRPr="009B4CF2">
        <w:rPr>
          <w:rFonts w:eastAsia="SimSun"/>
          <w:lang w:eastAsia="en-US"/>
        </w:rPr>
        <w:t>in-sync/out-of-sync indications</w:t>
      </w:r>
      <w:r>
        <w:rPr>
          <w:rFonts w:eastAsia="SimSun"/>
          <w:lang w:eastAsia="en-US"/>
        </w:rPr>
        <w:t xml:space="preserve"> to higher layers, similar to LTE.</w:t>
      </w:r>
      <w:bookmarkEnd w:id="3"/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2DFC4870" w14:textId="5B5970EA" w:rsidR="000F3FEF" w:rsidRDefault="00E5689D" w:rsidP="0080086A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</w:t>
      </w:r>
      <w:r w:rsidR="000F3FEF">
        <w:t xml:space="preserve"> answers to question 1 and 2</w:t>
      </w:r>
      <w:r w:rsidR="008E065E" w:rsidRPr="00CE0424">
        <w:t>:</w:t>
      </w:r>
    </w:p>
    <w:p w14:paraId="114D9EF9" w14:textId="27F93E2F" w:rsidR="00F6244A" w:rsidRDefault="00F6244A" w:rsidP="00F6244A">
      <w:pPr>
        <w:pStyle w:val="Proposal"/>
        <w:numPr>
          <w:ilvl w:val="0"/>
          <w:numId w:val="25"/>
        </w:numPr>
      </w:pPr>
      <w:r>
        <w:fldChar w:fldCharType="begin"/>
      </w:r>
      <w:r>
        <w:instrText xml:space="preserve"> REF _Ref481866496 \h </w:instrText>
      </w:r>
      <w:r>
        <w:fldChar w:fldCharType="separate"/>
      </w:r>
      <w:r>
        <w:t>In NR, L1 in the UE will provide a single in-sync/out-of-sync indication to higher layers in the UE at a certain point in time, both in single-beam and multi-beam operation. Note that the indication is not necessarily indicative of the cell quality.</w:t>
      </w:r>
      <w:r>
        <w:fldChar w:fldCharType="end"/>
      </w:r>
    </w:p>
    <w:p w14:paraId="60B357CF" w14:textId="7A98C09B" w:rsidR="00C01F33" w:rsidRPr="00306BCB" w:rsidRDefault="00F6244A" w:rsidP="00E5689D">
      <w:pPr>
        <w:pStyle w:val="Proposal"/>
        <w:numPr>
          <w:ilvl w:val="0"/>
          <w:numId w:val="25"/>
        </w:numPr>
      </w:pPr>
      <w:r>
        <w:fldChar w:fldCharType="begin"/>
      </w:r>
      <w:r>
        <w:instrText xml:space="preserve"> REF _Ref481866516 \h </w:instrText>
      </w:r>
      <w:r>
        <w:fldChar w:fldCharType="separate"/>
      </w:r>
      <w:r>
        <w:t xml:space="preserve">In NR, L1 in the UE will provide periodic </w:t>
      </w:r>
      <w:r w:rsidRPr="009B4CF2">
        <w:rPr>
          <w:rFonts w:eastAsia="SimSun"/>
          <w:lang w:eastAsia="en-US"/>
        </w:rPr>
        <w:t>in-sync/out-of-sync indications</w:t>
      </w:r>
      <w:r>
        <w:rPr>
          <w:rFonts w:eastAsia="SimSun"/>
          <w:lang w:eastAsia="en-US"/>
        </w:rPr>
        <w:t xml:space="preserve"> to higher layers, similar to LTE.</w:t>
      </w:r>
      <w:r>
        <w:fldChar w:fldCharType="end"/>
      </w:r>
    </w:p>
    <w:p w14:paraId="5B3C850D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BC9304B" w14:textId="57107E2C" w:rsidR="003A7EF3" w:rsidRDefault="00644AB9" w:rsidP="009B4CF2">
      <w:pPr>
        <w:pStyle w:val="Reference"/>
      </w:pPr>
      <w:bookmarkStart w:id="5" w:name="_Ref481511688"/>
      <w:r>
        <w:t>R2-17039</w:t>
      </w:r>
      <w:r w:rsidR="009B4CF2">
        <w:t>6</w:t>
      </w:r>
      <w:r>
        <w:t>4</w:t>
      </w:r>
      <w:r w:rsidR="00220DD8">
        <w:t xml:space="preserve">, </w:t>
      </w:r>
      <w:r>
        <w:t>“</w:t>
      </w:r>
      <w:r w:rsidR="009B4CF2" w:rsidRPr="009B4CF2">
        <w:t>LS to RAN1 on in-sync/out-of-sync indications for RLF</w:t>
      </w:r>
      <w:r>
        <w:t>,”</w:t>
      </w:r>
      <w:r w:rsidR="00220DD8">
        <w:t xml:space="preserve"> </w:t>
      </w:r>
      <w:r>
        <w:t>RAN2, RAN2#97b, April 2017.</w:t>
      </w:r>
      <w:bookmarkEnd w:id="5"/>
    </w:p>
    <w:p w14:paraId="4AA9DCA3" w14:textId="77777777" w:rsidR="005A06D3" w:rsidRPr="003F5776" w:rsidRDefault="005A06D3" w:rsidP="005A06D3">
      <w:pPr>
        <w:pStyle w:val="Reference"/>
        <w:rPr>
          <w:rStyle w:val="CommentReference"/>
          <w:sz w:val="20"/>
          <w:szCs w:val="20"/>
        </w:rPr>
      </w:pPr>
      <w:bookmarkStart w:id="6" w:name="_Ref481485425"/>
      <w:r>
        <w:t xml:space="preserve">3GPP TS 36.213, </w:t>
      </w:r>
      <w:r w:rsidRPr="003F5776">
        <w:t>Physical layer procedures</w:t>
      </w:r>
      <w:r>
        <w:t>, V14.1.0 (2016-12)</w:t>
      </w:r>
      <w:bookmarkEnd w:id="6"/>
      <w:r w:rsidRPr="00CE0424">
        <w:rPr>
          <w:rStyle w:val="CommentReference"/>
        </w:rPr>
        <w:t xml:space="preserve"> </w:t>
      </w:r>
    </w:p>
    <w:p w14:paraId="718247BB" w14:textId="77777777" w:rsidR="005A06D3" w:rsidRDefault="005A06D3" w:rsidP="005A06D3">
      <w:pPr>
        <w:pStyle w:val="Reference"/>
      </w:pPr>
      <w:bookmarkStart w:id="7" w:name="_Ref481485441"/>
      <w:r>
        <w:t xml:space="preserve">3GPP TS 36.133, </w:t>
      </w:r>
      <w:r w:rsidRPr="003F5776">
        <w:t>Requirements for support of radio resource management</w:t>
      </w:r>
      <w:r>
        <w:t>, V14.1.0 (2016-12)</w:t>
      </w:r>
      <w:bookmarkEnd w:id="7"/>
    </w:p>
    <w:p w14:paraId="2E06CE11" w14:textId="29FE08D8" w:rsidR="005A06D3" w:rsidRDefault="005A06D3" w:rsidP="005A06D3">
      <w:pPr>
        <w:pStyle w:val="Reference"/>
      </w:pPr>
      <w:bookmarkStart w:id="8" w:name="_Ref481485454"/>
      <w:r>
        <w:t>3GPP TS 36.331, Radio Resource Control (RRC);Protocol specification, V14.1.0 (2016-12)</w:t>
      </w:r>
      <w:bookmarkEnd w:id="8"/>
    </w:p>
    <w:p w14:paraId="11A60975" w14:textId="53736CAB" w:rsidR="00454AD7" w:rsidRDefault="00454AD7" w:rsidP="005A06D3">
      <w:pPr>
        <w:pStyle w:val="Reference"/>
      </w:pPr>
      <w:bookmarkStart w:id="9" w:name="_Ref481864739"/>
      <w:r w:rsidRPr="00327997">
        <w:t>R1-</w:t>
      </w:r>
      <w:r w:rsidRPr="00CC41AA">
        <w:t>1708729</w:t>
      </w:r>
      <w:r>
        <w:t>, “Radio link monitoring</w:t>
      </w:r>
      <w:r w:rsidR="008C1EEF">
        <w:t xml:space="preserve">,” </w:t>
      </w:r>
      <w:r>
        <w:t xml:space="preserve">Ericsson, RAN1#89, </w:t>
      </w:r>
      <w:r w:rsidR="008C1EEF">
        <w:t xml:space="preserve">Hangzhou, China, </w:t>
      </w:r>
      <w:r>
        <w:t>May 2017</w:t>
      </w:r>
      <w:bookmarkEnd w:id="9"/>
    </w:p>
    <w:p w14:paraId="30FAC49B" w14:textId="388089B2" w:rsidR="008C1EEF" w:rsidRDefault="008C1EEF" w:rsidP="008C1EEF">
      <w:pPr>
        <w:pStyle w:val="Reference"/>
      </w:pPr>
      <w:bookmarkStart w:id="10" w:name="_Ref481866327"/>
      <w:r>
        <w:t>R1-1708678, “Beam failure recovery mechanism,”</w:t>
      </w:r>
      <w:r w:rsidRPr="008C1EEF">
        <w:t xml:space="preserve"> </w:t>
      </w:r>
      <w:r>
        <w:t>Ericsson, RAN1#89, Hangzhou, China, May 2017</w:t>
      </w:r>
      <w:bookmarkEnd w:id="10"/>
    </w:p>
    <w:p w14:paraId="2EC53042" w14:textId="77777777" w:rsidR="005A06D3" w:rsidRPr="00CE0424" w:rsidRDefault="005A06D3" w:rsidP="005A06D3">
      <w:pPr>
        <w:pStyle w:val="Reference"/>
        <w:numPr>
          <w:ilvl w:val="0"/>
          <w:numId w:val="0"/>
        </w:numPr>
        <w:ind w:left="567"/>
      </w:pPr>
    </w:p>
    <w:sectPr w:rsidR="005A06D3" w:rsidRPr="00CE0424" w:rsidSect="00C02A4C">
      <w:headerReference w:type="even" r:id="rId13"/>
      <w:footerReference w:type="default" r:id="rId14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ECF0D0" w14:textId="77777777" w:rsidR="007E0F3D" w:rsidRDefault="007E0F3D">
      <w:r>
        <w:separator/>
      </w:r>
    </w:p>
  </w:endnote>
  <w:endnote w:type="continuationSeparator" w:id="0">
    <w:p w14:paraId="2283A86E" w14:textId="77777777" w:rsidR="007E0F3D" w:rsidRDefault="007E0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C4F2C" w14:textId="602BD871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E0F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E0F3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41D459" w14:textId="77777777" w:rsidR="007E0F3D" w:rsidRDefault="007E0F3D">
      <w:r>
        <w:separator/>
      </w:r>
    </w:p>
  </w:footnote>
  <w:footnote w:type="continuationSeparator" w:id="0">
    <w:p w14:paraId="7CED2D86" w14:textId="77777777" w:rsidR="007E0F3D" w:rsidRDefault="007E0F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7" w15:restartNumberingAfterBreak="0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E848D8"/>
    <w:multiLevelType w:val="hybridMultilevel"/>
    <w:tmpl w:val="B0982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C7222"/>
    <w:multiLevelType w:val="hybridMultilevel"/>
    <w:tmpl w:val="BAC6E10C"/>
    <w:lvl w:ilvl="0" w:tplc="3AC64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EA4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8F4DE">
      <w:start w:val="2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C6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54B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E9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844B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9CF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EA7C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052028"/>
    <w:multiLevelType w:val="hybridMultilevel"/>
    <w:tmpl w:val="C8143B28"/>
    <w:lvl w:ilvl="0" w:tplc="B97C6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C26DA2">
      <w:start w:val="464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84B96">
      <w:start w:val="464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4273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E0C1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20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125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6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2"/>
  </w:num>
  <w:num w:numId="15">
    <w:abstractNumId w:val="7"/>
  </w:num>
  <w:num w:numId="16">
    <w:abstractNumId w:val="4"/>
  </w:num>
  <w:num w:numId="17">
    <w:abstractNumId w:val="20"/>
  </w:num>
  <w:num w:numId="18">
    <w:abstractNumId w:val="26"/>
  </w:num>
  <w:num w:numId="19">
    <w:abstractNumId w:val="6"/>
  </w:num>
  <w:num w:numId="20">
    <w:abstractNumId w:val="25"/>
  </w:num>
  <w:num w:numId="21">
    <w:abstractNumId w:val="5"/>
  </w:num>
  <w:num w:numId="22">
    <w:abstractNumId w:val="15"/>
  </w:num>
  <w:num w:numId="23">
    <w:abstractNumId w:val="17"/>
  </w:num>
  <w:num w:numId="24">
    <w:abstractNumId w:val="8"/>
  </w:num>
  <w:num w:numId="25">
    <w:abstractNumId w:val="13"/>
    <w:lvlOverride w:ilvl="0">
      <w:startOverride w:val="1"/>
    </w:lvlOverride>
  </w:num>
  <w:num w:numId="26">
    <w:abstractNumId w:val="23"/>
  </w:num>
  <w:num w:numId="27">
    <w:abstractNumId w:val="22"/>
  </w:num>
  <w:num w:numId="28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144F"/>
    <w:rsid w:val="00021AC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32DF"/>
    <w:rsid w:val="0006487E"/>
    <w:rsid w:val="00065E1A"/>
    <w:rsid w:val="00077E5F"/>
    <w:rsid w:val="0008036A"/>
    <w:rsid w:val="000811E7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2D0"/>
    <w:rsid w:val="000F06D6"/>
    <w:rsid w:val="000F0EB1"/>
    <w:rsid w:val="000F1106"/>
    <w:rsid w:val="000F3BE9"/>
    <w:rsid w:val="000F3F6C"/>
    <w:rsid w:val="000F3FEF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A7E"/>
    <w:rsid w:val="001518A0"/>
    <w:rsid w:val="00151E23"/>
    <w:rsid w:val="001526E0"/>
    <w:rsid w:val="0015373E"/>
    <w:rsid w:val="001551B5"/>
    <w:rsid w:val="00163580"/>
    <w:rsid w:val="001659C1"/>
    <w:rsid w:val="00173A8E"/>
    <w:rsid w:val="0018143F"/>
    <w:rsid w:val="001878C0"/>
    <w:rsid w:val="00190AC1"/>
    <w:rsid w:val="00192A42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38B1"/>
    <w:rsid w:val="00235632"/>
    <w:rsid w:val="00235872"/>
    <w:rsid w:val="00241559"/>
    <w:rsid w:val="002435B3"/>
    <w:rsid w:val="002451ED"/>
    <w:rsid w:val="002458EB"/>
    <w:rsid w:val="002500C8"/>
    <w:rsid w:val="002558D5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30A"/>
    <w:rsid w:val="002A055E"/>
    <w:rsid w:val="002A1D4E"/>
    <w:rsid w:val="002A2869"/>
    <w:rsid w:val="002B24D6"/>
    <w:rsid w:val="002C41E6"/>
    <w:rsid w:val="002C67CE"/>
    <w:rsid w:val="002D071A"/>
    <w:rsid w:val="002D34B2"/>
    <w:rsid w:val="002D5E99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6BCB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CE1"/>
    <w:rsid w:val="00385BF0"/>
    <w:rsid w:val="00390316"/>
    <w:rsid w:val="003939FF"/>
    <w:rsid w:val="003A0E41"/>
    <w:rsid w:val="003A2223"/>
    <w:rsid w:val="003A2A0F"/>
    <w:rsid w:val="003A4490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491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4AD7"/>
    <w:rsid w:val="00457565"/>
    <w:rsid w:val="004575CA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61B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F28"/>
    <w:rsid w:val="00506557"/>
    <w:rsid w:val="0050677A"/>
    <w:rsid w:val="005108D8"/>
    <w:rsid w:val="005116F9"/>
    <w:rsid w:val="005153A7"/>
    <w:rsid w:val="005219CF"/>
    <w:rsid w:val="00534B59"/>
    <w:rsid w:val="00536759"/>
    <w:rsid w:val="00537162"/>
    <w:rsid w:val="00537C62"/>
    <w:rsid w:val="00546970"/>
    <w:rsid w:val="00554192"/>
    <w:rsid w:val="00554E19"/>
    <w:rsid w:val="0056121F"/>
    <w:rsid w:val="0056364A"/>
    <w:rsid w:val="00572505"/>
    <w:rsid w:val="00575DA6"/>
    <w:rsid w:val="00582809"/>
    <w:rsid w:val="0058798C"/>
    <w:rsid w:val="005900FA"/>
    <w:rsid w:val="005935A4"/>
    <w:rsid w:val="005948C2"/>
    <w:rsid w:val="00595DCA"/>
    <w:rsid w:val="0059779B"/>
    <w:rsid w:val="005A06D3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067F2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AB9"/>
    <w:rsid w:val="0064624E"/>
    <w:rsid w:val="00650AB9"/>
    <w:rsid w:val="006536E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6059"/>
    <w:rsid w:val="006C7357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D8B"/>
    <w:rsid w:val="00751228"/>
    <w:rsid w:val="00753089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34B2"/>
    <w:rsid w:val="007A392D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F3D"/>
    <w:rsid w:val="007E4610"/>
    <w:rsid w:val="007E4715"/>
    <w:rsid w:val="007E480E"/>
    <w:rsid w:val="007E505B"/>
    <w:rsid w:val="007E7091"/>
    <w:rsid w:val="007F75D5"/>
    <w:rsid w:val="0080086A"/>
    <w:rsid w:val="00800D2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6039"/>
    <w:rsid w:val="0083634B"/>
    <w:rsid w:val="008376AC"/>
    <w:rsid w:val="008444E8"/>
    <w:rsid w:val="00844E80"/>
    <w:rsid w:val="00846FE7"/>
    <w:rsid w:val="00854A99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333"/>
    <w:rsid w:val="00890B9E"/>
    <w:rsid w:val="008935BC"/>
    <w:rsid w:val="00894A88"/>
    <w:rsid w:val="00895386"/>
    <w:rsid w:val="008A21CF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5F1B"/>
    <w:rsid w:val="008B7B5C"/>
    <w:rsid w:val="008C0C99"/>
    <w:rsid w:val="008C1B66"/>
    <w:rsid w:val="008C1EEF"/>
    <w:rsid w:val="008C2017"/>
    <w:rsid w:val="008C344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A31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0DD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301A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4968"/>
    <w:rsid w:val="009A5CBA"/>
    <w:rsid w:val="009B1F30"/>
    <w:rsid w:val="009B3AC2"/>
    <w:rsid w:val="009B4CF2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3724F"/>
    <w:rsid w:val="00A41E2B"/>
    <w:rsid w:val="00A45B74"/>
    <w:rsid w:val="00A52E1D"/>
    <w:rsid w:val="00A54A7A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113"/>
    <w:rsid w:val="00A85C6C"/>
    <w:rsid w:val="00A85EF6"/>
    <w:rsid w:val="00A92879"/>
    <w:rsid w:val="00A9442A"/>
    <w:rsid w:val="00AA016F"/>
    <w:rsid w:val="00AA1ED6"/>
    <w:rsid w:val="00AA51D6"/>
    <w:rsid w:val="00AB0BC8"/>
    <w:rsid w:val="00AB11CA"/>
    <w:rsid w:val="00AB14D9"/>
    <w:rsid w:val="00AB286A"/>
    <w:rsid w:val="00AB4AB8"/>
    <w:rsid w:val="00AB655E"/>
    <w:rsid w:val="00AC007F"/>
    <w:rsid w:val="00AC2ECD"/>
    <w:rsid w:val="00AC3119"/>
    <w:rsid w:val="00AC49FB"/>
    <w:rsid w:val="00AC5339"/>
    <w:rsid w:val="00AC5A10"/>
    <w:rsid w:val="00AC7789"/>
    <w:rsid w:val="00AD0AA3"/>
    <w:rsid w:val="00AD3BC8"/>
    <w:rsid w:val="00AD3F94"/>
    <w:rsid w:val="00AD4A5A"/>
    <w:rsid w:val="00AE27AC"/>
    <w:rsid w:val="00AE2FEB"/>
    <w:rsid w:val="00AE40E0"/>
    <w:rsid w:val="00AE4DBA"/>
    <w:rsid w:val="00AE4F07"/>
    <w:rsid w:val="00AE641B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66DA1"/>
    <w:rsid w:val="00B70A2E"/>
    <w:rsid w:val="00B710AF"/>
    <w:rsid w:val="00B739F6"/>
    <w:rsid w:val="00B75A51"/>
    <w:rsid w:val="00B81A6C"/>
    <w:rsid w:val="00B84173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1860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3A4"/>
    <w:rsid w:val="00C14D4B"/>
    <w:rsid w:val="00C154BB"/>
    <w:rsid w:val="00C170D9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CEB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2011"/>
    <w:rsid w:val="00CC3EA0"/>
    <w:rsid w:val="00CC4B82"/>
    <w:rsid w:val="00CC7B45"/>
    <w:rsid w:val="00CD1188"/>
    <w:rsid w:val="00CD2ED1"/>
    <w:rsid w:val="00CD337B"/>
    <w:rsid w:val="00CE0424"/>
    <w:rsid w:val="00CE078C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44CC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49D"/>
    <w:rsid w:val="00D652B5"/>
    <w:rsid w:val="00D65C8E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5E91"/>
    <w:rsid w:val="00DB0A9F"/>
    <w:rsid w:val="00DB377D"/>
    <w:rsid w:val="00DB71C2"/>
    <w:rsid w:val="00DC2D36"/>
    <w:rsid w:val="00DC53EF"/>
    <w:rsid w:val="00DD795F"/>
    <w:rsid w:val="00DE4BB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4F2C"/>
    <w:rsid w:val="00E758EC"/>
    <w:rsid w:val="00E770F3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EA2"/>
    <w:rsid w:val="00EC27C6"/>
    <w:rsid w:val="00EC4207"/>
    <w:rsid w:val="00EC5653"/>
    <w:rsid w:val="00EC71CE"/>
    <w:rsid w:val="00EC77A7"/>
    <w:rsid w:val="00ED1006"/>
    <w:rsid w:val="00EE59C8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EE1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244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D27"/>
    <w:rsid w:val="00F96985"/>
    <w:rsid w:val="00F97838"/>
    <w:rsid w:val="00FA2BB3"/>
    <w:rsid w:val="00FB4C80"/>
    <w:rsid w:val="00FB6A6A"/>
    <w:rsid w:val="00FC7429"/>
    <w:rsid w:val="00FD07F6"/>
    <w:rsid w:val="00FD1EC8"/>
    <w:rsid w:val="00FD2F79"/>
    <w:rsid w:val="00FD47ED"/>
    <w:rsid w:val="00FD74DB"/>
    <w:rsid w:val="00FD7660"/>
    <w:rsid w:val="00FE0655"/>
    <w:rsid w:val="00FE2365"/>
    <w:rsid w:val="00FE37D7"/>
    <w:rsid w:val="00FE4C7B"/>
    <w:rsid w:val="00FE5FC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8363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83634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8363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8363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8363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8363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3634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3634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363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3634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3634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3634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83634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634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3634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3634B"/>
    <w:pPr>
      <w:ind w:left="1418" w:hanging="1418"/>
    </w:pPr>
  </w:style>
  <w:style w:type="paragraph" w:styleId="TOC3">
    <w:name w:val="toc 3"/>
    <w:basedOn w:val="TOC2"/>
    <w:semiHidden/>
    <w:rsid w:val="0083634B"/>
    <w:pPr>
      <w:ind w:left="1134" w:hanging="1134"/>
    </w:pPr>
  </w:style>
  <w:style w:type="paragraph" w:styleId="TOC2">
    <w:name w:val="toc 2"/>
    <w:basedOn w:val="TOC1"/>
    <w:semiHidden/>
    <w:rsid w:val="0083634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3634B"/>
    <w:pPr>
      <w:ind w:left="284"/>
    </w:pPr>
  </w:style>
  <w:style w:type="paragraph" w:styleId="Index1">
    <w:name w:val="index 1"/>
    <w:basedOn w:val="Normal"/>
    <w:semiHidden/>
    <w:rsid w:val="0083634B"/>
    <w:pPr>
      <w:keepLines/>
      <w:spacing w:after="0"/>
    </w:pPr>
  </w:style>
  <w:style w:type="paragraph" w:styleId="DocumentMap">
    <w:name w:val="Document Map"/>
    <w:basedOn w:val="Normal"/>
    <w:semiHidden/>
    <w:rsid w:val="0083634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634B"/>
    <w:pPr>
      <w:ind w:left="851"/>
    </w:pPr>
  </w:style>
  <w:style w:type="paragraph" w:styleId="ListNumber">
    <w:name w:val="List Number"/>
    <w:basedOn w:val="List"/>
    <w:rsid w:val="0083634B"/>
  </w:style>
  <w:style w:type="paragraph" w:styleId="List">
    <w:name w:val="List"/>
    <w:basedOn w:val="Normal"/>
    <w:rsid w:val="0083634B"/>
    <w:pPr>
      <w:ind w:left="568" w:hanging="284"/>
    </w:pPr>
  </w:style>
  <w:style w:type="paragraph" w:styleId="Header">
    <w:name w:val="header"/>
    <w:aliases w:val="header odd"/>
    <w:link w:val="HeaderChar"/>
    <w:uiPriority w:val="99"/>
    <w:rsid w:val="008363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3634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3634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83634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83634B"/>
    <w:pPr>
      <w:ind w:left="1418" w:hanging="1418"/>
    </w:pPr>
  </w:style>
  <w:style w:type="paragraph" w:styleId="TOC6">
    <w:name w:val="toc 6"/>
    <w:basedOn w:val="TOC5"/>
    <w:next w:val="Normal"/>
    <w:semiHidden/>
    <w:rsid w:val="0083634B"/>
    <w:pPr>
      <w:ind w:left="1985" w:hanging="1985"/>
    </w:pPr>
  </w:style>
  <w:style w:type="paragraph" w:styleId="TOC7">
    <w:name w:val="toc 7"/>
    <w:basedOn w:val="TOC6"/>
    <w:next w:val="Normal"/>
    <w:semiHidden/>
    <w:rsid w:val="0083634B"/>
    <w:pPr>
      <w:ind w:left="2268" w:hanging="2268"/>
    </w:pPr>
  </w:style>
  <w:style w:type="paragraph" w:styleId="ListBullet2">
    <w:name w:val="List Bullet 2"/>
    <w:basedOn w:val="ListBullet"/>
    <w:rsid w:val="0083634B"/>
    <w:pPr>
      <w:numPr>
        <w:numId w:val="6"/>
      </w:numPr>
    </w:pPr>
  </w:style>
  <w:style w:type="paragraph" w:styleId="ListBullet">
    <w:name w:val="List Bullet"/>
    <w:basedOn w:val="BodyText"/>
    <w:rsid w:val="0083634B"/>
    <w:pPr>
      <w:numPr>
        <w:numId w:val="5"/>
      </w:numPr>
    </w:pPr>
  </w:style>
  <w:style w:type="paragraph" w:styleId="ListBullet3">
    <w:name w:val="List Bullet 3"/>
    <w:basedOn w:val="ListBullet2"/>
    <w:rsid w:val="0083634B"/>
    <w:pPr>
      <w:numPr>
        <w:numId w:val="7"/>
      </w:numPr>
    </w:pPr>
  </w:style>
  <w:style w:type="paragraph" w:customStyle="1" w:styleId="EQ">
    <w:name w:val="EQ"/>
    <w:basedOn w:val="Normal"/>
    <w:next w:val="Normal"/>
    <w:rsid w:val="0083634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3634B"/>
    <w:pPr>
      <w:ind w:left="851"/>
    </w:pPr>
  </w:style>
  <w:style w:type="paragraph" w:styleId="List3">
    <w:name w:val="List 3"/>
    <w:basedOn w:val="List2"/>
    <w:rsid w:val="0083634B"/>
    <w:pPr>
      <w:ind w:left="1135"/>
    </w:pPr>
  </w:style>
  <w:style w:type="paragraph" w:styleId="List4">
    <w:name w:val="List 4"/>
    <w:basedOn w:val="List3"/>
    <w:rsid w:val="0083634B"/>
    <w:pPr>
      <w:ind w:left="1418"/>
    </w:pPr>
  </w:style>
  <w:style w:type="paragraph" w:styleId="List5">
    <w:name w:val="List 5"/>
    <w:basedOn w:val="List4"/>
    <w:rsid w:val="0083634B"/>
    <w:pPr>
      <w:ind w:left="1702"/>
    </w:pPr>
  </w:style>
  <w:style w:type="paragraph" w:customStyle="1" w:styleId="EditorsNote">
    <w:name w:val="Editor's Note"/>
    <w:basedOn w:val="Normal"/>
    <w:rsid w:val="0083634B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3634B"/>
    <w:pPr>
      <w:numPr>
        <w:numId w:val="8"/>
      </w:numPr>
    </w:pPr>
  </w:style>
  <w:style w:type="paragraph" w:styleId="ListBullet5">
    <w:name w:val="List Bullet 5"/>
    <w:basedOn w:val="ListBullet4"/>
    <w:rsid w:val="0083634B"/>
    <w:pPr>
      <w:numPr>
        <w:numId w:val="4"/>
      </w:numPr>
    </w:pPr>
  </w:style>
  <w:style w:type="paragraph" w:styleId="Footer">
    <w:name w:val="footer"/>
    <w:basedOn w:val="Header"/>
    <w:semiHidden/>
    <w:rsid w:val="0083634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83634B"/>
    <w:pPr>
      <w:numPr>
        <w:numId w:val="2"/>
      </w:numPr>
    </w:pPr>
  </w:style>
  <w:style w:type="paragraph" w:styleId="BalloonText">
    <w:name w:val="Balloon Text"/>
    <w:basedOn w:val="Normal"/>
    <w:semiHidden/>
    <w:rsid w:val="0083634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3634B"/>
  </w:style>
  <w:style w:type="paragraph" w:styleId="BodyText">
    <w:name w:val="Body Text"/>
    <w:basedOn w:val="Normal"/>
    <w:link w:val="BodyTextChar"/>
    <w:qFormat/>
    <w:rsid w:val="0083634B"/>
  </w:style>
  <w:style w:type="character" w:styleId="Hyperlink">
    <w:name w:val="Hyperlink"/>
    <w:uiPriority w:val="99"/>
    <w:rsid w:val="0083634B"/>
    <w:rPr>
      <w:color w:val="0000FF"/>
      <w:u w:val="single"/>
      <w:lang w:val="en-GB"/>
    </w:rPr>
  </w:style>
  <w:style w:type="character" w:styleId="FollowedHyperlink">
    <w:name w:val="FollowedHyperlink"/>
    <w:semiHidden/>
    <w:rsid w:val="0083634B"/>
    <w:rPr>
      <w:color w:val="FF0000"/>
      <w:u w:val="single"/>
    </w:rPr>
  </w:style>
  <w:style w:type="character" w:styleId="CommentReference">
    <w:name w:val="annotation reference"/>
    <w:semiHidden/>
    <w:rsid w:val="0083634B"/>
    <w:rPr>
      <w:sz w:val="16"/>
      <w:szCs w:val="16"/>
    </w:rPr>
  </w:style>
  <w:style w:type="paragraph" w:styleId="CommentText">
    <w:name w:val="annotation text"/>
    <w:basedOn w:val="Normal"/>
    <w:semiHidden/>
    <w:rsid w:val="0083634B"/>
  </w:style>
  <w:style w:type="paragraph" w:styleId="CommentSubject">
    <w:name w:val="annotation subject"/>
    <w:basedOn w:val="CommentText"/>
    <w:next w:val="CommentText"/>
    <w:semiHidden/>
    <w:rsid w:val="0083634B"/>
    <w:rPr>
      <w:b/>
      <w:bCs/>
    </w:rPr>
  </w:style>
  <w:style w:type="character" w:customStyle="1" w:styleId="Heading1Char">
    <w:name w:val="Heading 1 Char"/>
    <w:link w:val="Heading1"/>
    <w:rsid w:val="0083634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83634B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3634B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3634B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3634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83634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3634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83634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3634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3634B"/>
    <w:pPr>
      <w:spacing w:after="0"/>
    </w:pPr>
  </w:style>
  <w:style w:type="paragraph" w:customStyle="1" w:styleId="TAL">
    <w:name w:val="TAL"/>
    <w:basedOn w:val="Normal"/>
    <w:rsid w:val="0083634B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3634B"/>
    <w:pPr>
      <w:jc w:val="center"/>
    </w:pPr>
  </w:style>
  <w:style w:type="paragraph" w:customStyle="1" w:styleId="TAH">
    <w:name w:val="TAH"/>
    <w:basedOn w:val="TAC"/>
    <w:rsid w:val="0083634B"/>
    <w:rPr>
      <w:b/>
    </w:rPr>
  </w:style>
  <w:style w:type="paragraph" w:customStyle="1" w:styleId="TAN">
    <w:name w:val="TAN"/>
    <w:basedOn w:val="TAL"/>
    <w:rsid w:val="0083634B"/>
    <w:pPr>
      <w:ind w:left="851" w:hanging="851"/>
    </w:pPr>
  </w:style>
  <w:style w:type="paragraph" w:customStyle="1" w:styleId="TAR">
    <w:name w:val="TAR"/>
    <w:basedOn w:val="TAL"/>
    <w:rsid w:val="0083634B"/>
    <w:pPr>
      <w:jc w:val="right"/>
    </w:pPr>
  </w:style>
  <w:style w:type="paragraph" w:customStyle="1" w:styleId="TH">
    <w:name w:val="TH"/>
    <w:basedOn w:val="Normal"/>
    <w:rsid w:val="0083634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3634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634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363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63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63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363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3634B"/>
  </w:style>
  <w:style w:type="paragraph" w:customStyle="1" w:styleId="ZH">
    <w:name w:val="ZH"/>
    <w:rsid w:val="008363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363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3634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63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634B"/>
    <w:pPr>
      <w:framePr w:wrap="notBeside" w:y="16161"/>
    </w:pPr>
  </w:style>
  <w:style w:type="paragraph" w:customStyle="1" w:styleId="FP">
    <w:name w:val="FP"/>
    <w:basedOn w:val="Normal"/>
    <w:rsid w:val="0083634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3634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83634B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83634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locked/>
    <w:rsid w:val="009B4CF2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Doc-text2">
    <w:name w:val="Doc-text2"/>
    <w:basedOn w:val="Normal"/>
    <w:link w:val="Doc-text2Char"/>
    <w:qFormat/>
    <w:rsid w:val="005A06D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locked/>
    <w:rsid w:val="005A06D3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DD7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941902A-1F67-4A2C-ADCC-53D57AC14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65</TotalTime>
  <Pages>2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Asbjörn Grövlen</cp:lastModifiedBy>
  <cp:revision>14</cp:revision>
  <cp:lastPrinted>2008-01-31T15:09:00Z</cp:lastPrinted>
  <dcterms:created xsi:type="dcterms:W3CDTF">2017-05-06T17:41:00Z</dcterms:created>
  <dcterms:modified xsi:type="dcterms:W3CDTF">2017-05-06T23:01:00Z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2017-05-03T22:00:00Z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